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bottom w:color="000000" w:space="1" w:sz="12" w:val="single"/>
        </w:pBd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4124960</wp:posOffset>
            </wp:positionH>
            <wp:positionV relativeFrom="paragraph">
              <wp:posOffset>0</wp:posOffset>
            </wp:positionV>
            <wp:extent cx="1939290" cy="1092200"/>
            <wp:effectExtent b="0" l="0" r="0" t="0"/>
            <wp:wrapSquare wrapText="bothSides" distB="0" distT="0" distL="114300" distR="114300"/>
            <wp:docPr descr="A close up of a water surface&#10;&#10;AI-generated content may be incorrect." id="1230151741" name="image1.png"/>
            <a:graphic>
              <a:graphicData uri="http://schemas.openxmlformats.org/drawingml/2006/picture">
                <pic:pic>
                  <pic:nvPicPr>
                    <pic:cNvPr descr="A close up of a water surface&#10;&#10;AI-generated content may be incorrect." id="0" name="image1.png"/>
                    <pic:cNvPicPr preferRelativeResize="0"/>
                  </pic:nvPicPr>
                  <pic:blipFill>
                    <a:blip r:embed="rId7"/>
                    <a:srcRect b="0" l="0" r="0" t="0"/>
                    <a:stretch>
                      <a:fillRect/>
                    </a:stretch>
                  </pic:blipFill>
                  <pic:spPr>
                    <a:xfrm>
                      <a:off x="0" y="0"/>
                      <a:ext cx="1939290" cy="1092200"/>
                    </a:xfrm>
                    <a:prstGeom prst="rect"/>
                    <a:ln/>
                  </pic:spPr>
                </pic:pic>
              </a:graphicData>
            </a:graphic>
          </wp:anchor>
        </w:drawing>
      </w:r>
    </w:p>
    <w:p w:rsidR="00000000" w:rsidDel="00000000" w:rsidP="00000000" w:rsidRDefault="00000000" w:rsidRPr="00000000" w14:paraId="00000002">
      <w:pPr>
        <w:widowControl w:val="0"/>
        <w:rPr/>
      </w:pPr>
      <w:r w:rsidDel="00000000" w:rsidR="00000000" w:rsidRPr="00000000">
        <w:rPr>
          <w:rtl w:val="0"/>
        </w:rPr>
      </w:r>
    </w:p>
    <w:p w:rsidR="00000000" w:rsidDel="00000000" w:rsidP="00000000" w:rsidRDefault="00000000" w:rsidRPr="00000000" w14:paraId="00000003">
      <w:pPr>
        <w:widowControl w:val="0"/>
        <w:rPr>
          <w:rFonts w:ascii="Gibson" w:cs="Gibson" w:eastAsia="Gibson" w:hAnsi="Gibson"/>
          <w:b w:val="1"/>
          <w:sz w:val="32"/>
          <w:szCs w:val="32"/>
        </w:rPr>
      </w:pPr>
      <w:r w:rsidDel="00000000" w:rsidR="00000000" w:rsidRPr="00000000">
        <w:rPr>
          <w:rFonts w:ascii="Gibson" w:cs="Gibson" w:eastAsia="Gibson" w:hAnsi="Gibson"/>
          <w:b w:val="1"/>
          <w:sz w:val="32"/>
          <w:szCs w:val="32"/>
          <w:rtl w:val="0"/>
        </w:rPr>
        <w:t xml:space="preserve">The Example</w:t>
      </w:r>
    </w:p>
    <w:p w:rsidR="00000000" w:rsidDel="00000000" w:rsidP="00000000" w:rsidRDefault="00000000" w:rsidRPr="00000000" w14:paraId="00000004">
      <w:pPr>
        <w:widowControl w:val="0"/>
        <w:rPr>
          <w:rFonts w:ascii="Gibson" w:cs="Gibson" w:eastAsia="Gibson" w:hAnsi="Gibson"/>
          <w:b w:val="1"/>
          <w:sz w:val="22"/>
          <w:szCs w:val="22"/>
        </w:rPr>
      </w:pPr>
      <w:r w:rsidDel="00000000" w:rsidR="00000000" w:rsidRPr="00000000">
        <w:rPr>
          <w:rFonts w:ascii="Gibson" w:cs="Gibson" w:eastAsia="Gibson" w:hAnsi="Gibson"/>
          <w:b w:val="1"/>
          <w:sz w:val="22"/>
          <w:szCs w:val="22"/>
          <w:rtl w:val="0"/>
        </w:rPr>
        <w:t xml:space="preserve">2 Corinthians 8:1-7 // Todd Dugard</w:t>
      </w:r>
    </w:p>
    <w:p w:rsidR="00000000" w:rsidDel="00000000" w:rsidP="00000000" w:rsidRDefault="00000000" w:rsidRPr="00000000" w14:paraId="00000005">
      <w:pPr>
        <w:widowControl w:val="0"/>
        <w:rPr>
          <w:rFonts w:ascii="Gibson" w:cs="Gibson" w:eastAsia="Gibson" w:hAnsi="Gibson"/>
          <w:b w:val="1"/>
          <w:sz w:val="22"/>
          <w:szCs w:val="22"/>
        </w:rPr>
      </w:pPr>
      <w:r w:rsidDel="00000000" w:rsidR="00000000" w:rsidRPr="00000000">
        <w:rPr>
          <w:rFonts w:ascii="Gibson" w:cs="Gibson" w:eastAsia="Gibson" w:hAnsi="Gibson"/>
          <w:b w:val="1"/>
          <w:sz w:val="22"/>
          <w:szCs w:val="22"/>
          <w:rtl w:val="0"/>
        </w:rPr>
        <w:t xml:space="preserve">February 2, 2025</w:t>
      </w:r>
    </w:p>
    <w:p w:rsidR="00000000" w:rsidDel="00000000" w:rsidP="00000000" w:rsidRDefault="00000000" w:rsidRPr="00000000" w14:paraId="00000006">
      <w:pPr>
        <w:widowControl w:val="0"/>
        <w:rPr>
          <w:rFonts w:ascii="Gibson" w:cs="Gibson" w:eastAsia="Gibson" w:hAnsi="Gibson"/>
          <w:sz w:val="22"/>
          <w:szCs w:val="22"/>
        </w:rPr>
      </w:pPr>
      <w:r w:rsidDel="00000000" w:rsidR="00000000" w:rsidRPr="00000000">
        <w:rPr>
          <w:rtl w:val="0"/>
        </w:rPr>
      </w:r>
    </w:p>
    <w:p w:rsidR="00000000" w:rsidDel="00000000" w:rsidP="00000000" w:rsidRDefault="00000000" w:rsidRPr="00000000" w14:paraId="00000007">
      <w:pPr>
        <w:widowControl w:val="0"/>
        <w:rPr>
          <w:rFonts w:ascii="Gibson" w:cs="Gibson" w:eastAsia="Gibson" w:hAnsi="Gibson"/>
          <w:i w:val="1"/>
          <w:sz w:val="22"/>
          <w:szCs w:val="22"/>
        </w:rPr>
      </w:pPr>
      <w:r w:rsidDel="00000000" w:rsidR="00000000" w:rsidRPr="00000000">
        <w:rPr>
          <w:rtl w:val="0"/>
        </w:rPr>
      </w:r>
    </w:p>
    <w:p w:rsidR="00000000" w:rsidDel="00000000" w:rsidP="00000000" w:rsidRDefault="00000000" w:rsidRPr="00000000" w14:paraId="00000008">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Excelling in “this act of grace” of giving is founded on four values:</w:t>
      </w:r>
    </w:p>
    <w:p w:rsidR="00000000" w:rsidDel="00000000" w:rsidP="00000000" w:rsidRDefault="00000000" w:rsidRPr="00000000" w14:paraId="00000009">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Value 1 - Regular people like me fund the mission (v. 1)</w:t>
      </w:r>
    </w:p>
    <w:p w:rsidR="00000000" w:rsidDel="00000000" w:rsidP="00000000" w:rsidRDefault="00000000" w:rsidRPr="00000000" w14:paraId="0000000A">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Value 2 - My life circumstances are not the determining factor in my giving (v. 2a)</w:t>
      </w:r>
    </w:p>
    <w:p w:rsidR="00000000" w:rsidDel="00000000" w:rsidP="00000000" w:rsidRDefault="00000000" w:rsidRPr="00000000" w14:paraId="0000000B">
      <w:pPr>
        <w:widowControl w:val="0"/>
        <w:rPr>
          <w:rFonts w:ascii="Gibson" w:cs="Gibson" w:eastAsia="Gibson" w:hAnsi="Gibson"/>
          <w:i w:val="1"/>
          <w:sz w:val="22"/>
          <w:szCs w:val="22"/>
        </w:rPr>
      </w:pPr>
      <w:r w:rsidDel="00000000" w:rsidR="00000000" w:rsidRPr="00000000">
        <w:rPr>
          <w:rFonts w:ascii="Gibson" w:cs="Gibson" w:eastAsia="Gibson" w:hAnsi="Gibson"/>
          <w:i w:val="1"/>
          <w:sz w:val="22"/>
          <w:szCs w:val="22"/>
          <w:rtl w:val="0"/>
        </w:rPr>
        <w:t xml:space="preserve">Value 3 - The tithe is out; generosity and sacrifice are in (v. 2b-3)</w:t>
      </w:r>
    </w:p>
    <w:p w:rsidR="00000000" w:rsidDel="00000000" w:rsidP="00000000" w:rsidRDefault="00000000" w:rsidRPr="00000000" w14:paraId="0000000C">
      <w:pPr>
        <w:widowControl w:val="0"/>
        <w:rPr>
          <w:rFonts w:ascii="Gibson" w:cs="Gibson" w:eastAsia="Gibson" w:hAnsi="Gibson"/>
          <w:sz w:val="22"/>
          <w:szCs w:val="22"/>
        </w:rPr>
      </w:pPr>
      <w:r w:rsidDel="00000000" w:rsidR="00000000" w:rsidRPr="00000000">
        <w:rPr>
          <w:rFonts w:ascii="Gibson" w:cs="Gibson" w:eastAsia="Gibson" w:hAnsi="Gibson"/>
          <w:i w:val="1"/>
          <w:sz w:val="22"/>
          <w:szCs w:val="22"/>
          <w:rtl w:val="0"/>
        </w:rPr>
        <w:t xml:space="preserve">Value 4 - It naturally follows giving myself first to the Lord (v. 4-7)</w:t>
      </w:r>
      <w:r w:rsidDel="00000000" w:rsidR="00000000" w:rsidRPr="00000000">
        <w:rPr>
          <w:rtl w:val="0"/>
        </w:rPr>
      </w:r>
    </w:p>
    <w:p w:rsidR="00000000" w:rsidDel="00000000" w:rsidP="00000000" w:rsidRDefault="00000000" w:rsidRPr="00000000" w14:paraId="0000000D">
      <w:pPr>
        <w:widowControl w:val="0"/>
        <w:rPr>
          <w:rFonts w:ascii="Gibson" w:cs="Gibson" w:eastAsia="Gibson" w:hAnsi="Gibson"/>
          <w:b w:val="1"/>
          <w:sz w:val="28"/>
          <w:szCs w:val="28"/>
        </w:rPr>
      </w:pPr>
      <w:r w:rsidDel="00000000" w:rsidR="00000000" w:rsidRPr="00000000">
        <w:rPr>
          <w:rFonts w:ascii="Gibson" w:cs="Gibson" w:eastAsia="Gibson" w:hAnsi="Gibson"/>
          <w:b w:val="1"/>
          <w:sz w:val="28"/>
          <w:szCs w:val="28"/>
          <w:rtl w:val="0"/>
        </w:rPr>
        <w:t xml:space="preserve">GROUP STUDY QUESTIONS </w:t>
      </w:r>
    </w:p>
    <w:p w:rsidR="00000000" w:rsidDel="00000000" w:rsidP="00000000" w:rsidRDefault="00000000" w:rsidRPr="00000000" w14:paraId="0000000E">
      <w:pPr>
        <w:widowControl w:val="0"/>
        <w:ind w:left="0" w:firstLine="0"/>
        <w:rPr>
          <w:sz w:val="22"/>
          <w:szCs w:val="22"/>
        </w:rPr>
      </w:pPr>
      <w:r w:rsidDel="00000000" w:rsidR="00000000" w:rsidRPr="00000000">
        <w:rPr>
          <w:rtl w:val="0"/>
        </w:rPr>
      </w:r>
    </w:p>
    <w:p w:rsidR="00000000" w:rsidDel="00000000" w:rsidP="00000000" w:rsidRDefault="00000000" w:rsidRPr="00000000" w14:paraId="0000000F">
      <w:pPr>
        <w:widowControl w:val="0"/>
        <w:numPr>
          <w:ilvl w:val="0"/>
          <w:numId w:val="2"/>
        </w:numPr>
        <w:ind w:left="720" w:hanging="360"/>
        <w:rPr>
          <w:sz w:val="22"/>
          <w:szCs w:val="22"/>
        </w:rPr>
      </w:pPr>
      <w:r w:rsidDel="00000000" w:rsidR="00000000" w:rsidRPr="00000000">
        <w:rPr>
          <w:sz w:val="22"/>
          <w:szCs w:val="22"/>
          <w:rtl w:val="0"/>
        </w:rPr>
        <w:t xml:space="preserve">Excelling in “this act of grace” of giving naturally follows giving myself first to the Lord.</w:t>
      </w:r>
    </w:p>
    <w:p w:rsidR="00000000" w:rsidDel="00000000" w:rsidP="00000000" w:rsidRDefault="00000000" w:rsidRPr="00000000" w14:paraId="00000010">
      <w:pPr>
        <w:widowControl w:val="0"/>
        <w:ind w:left="720" w:firstLine="0"/>
        <w:rPr>
          <w:sz w:val="22"/>
          <w:szCs w:val="22"/>
        </w:rPr>
      </w:pPr>
      <w:r w:rsidDel="00000000" w:rsidR="00000000" w:rsidRPr="00000000">
        <w:rPr>
          <w:rtl w:val="0"/>
        </w:rPr>
      </w:r>
    </w:p>
    <w:p w:rsidR="00000000" w:rsidDel="00000000" w:rsidP="00000000" w:rsidRDefault="00000000" w:rsidRPr="00000000" w14:paraId="00000011">
      <w:pPr>
        <w:widowControl w:val="0"/>
        <w:numPr>
          <w:ilvl w:val="1"/>
          <w:numId w:val="2"/>
        </w:numPr>
        <w:ind w:left="1440" w:hanging="360"/>
        <w:rPr>
          <w:sz w:val="22"/>
          <w:szCs w:val="22"/>
        </w:rPr>
      </w:pPr>
      <w:r w:rsidDel="00000000" w:rsidR="00000000" w:rsidRPr="00000000">
        <w:rPr>
          <w:sz w:val="22"/>
          <w:szCs w:val="22"/>
          <w:rtl w:val="0"/>
        </w:rPr>
        <w:t xml:space="preserve">What does it mean to give yourself to the Lord first? </w:t>
      </w:r>
    </w:p>
    <w:p w:rsidR="00000000" w:rsidDel="00000000" w:rsidP="00000000" w:rsidRDefault="00000000" w:rsidRPr="00000000" w14:paraId="00000012">
      <w:pPr>
        <w:widowControl w:val="0"/>
        <w:spacing w:after="0" w:lineRule="auto"/>
        <w:ind w:left="1440" w:firstLine="0"/>
        <w:rPr>
          <w:sz w:val="22"/>
          <w:szCs w:val="22"/>
        </w:rPr>
      </w:pPr>
      <w:r w:rsidDel="00000000" w:rsidR="00000000" w:rsidRPr="00000000">
        <w:rPr>
          <w:rtl w:val="0"/>
        </w:rPr>
      </w:r>
    </w:p>
    <w:p w:rsidR="00000000" w:rsidDel="00000000" w:rsidP="00000000" w:rsidRDefault="00000000" w:rsidRPr="00000000" w14:paraId="00000013">
      <w:pPr>
        <w:widowControl w:val="0"/>
        <w:numPr>
          <w:ilvl w:val="0"/>
          <w:numId w:val="3"/>
        </w:numPr>
        <w:spacing w:after="0" w:lineRule="auto"/>
        <w:ind w:left="720" w:hanging="360"/>
        <w:rPr>
          <w:sz w:val="22"/>
          <w:szCs w:val="22"/>
        </w:rPr>
      </w:pPr>
      <w:r w:rsidDel="00000000" w:rsidR="00000000" w:rsidRPr="00000000">
        <w:rPr>
          <w:sz w:val="22"/>
          <w:szCs w:val="22"/>
          <w:rtl w:val="0"/>
        </w:rPr>
        <w:t xml:space="preserve">Value 3 states that the tithe is out, while generosity and sacrifice are in.</w:t>
      </w:r>
    </w:p>
    <w:p w:rsidR="00000000" w:rsidDel="00000000" w:rsidP="00000000" w:rsidRDefault="00000000" w:rsidRPr="00000000" w14:paraId="00000014">
      <w:pPr>
        <w:widowControl w:val="0"/>
        <w:numPr>
          <w:ilvl w:val="1"/>
          <w:numId w:val="3"/>
        </w:numPr>
        <w:spacing w:after="0" w:before="240" w:lineRule="auto"/>
        <w:ind w:left="1440" w:hanging="360"/>
        <w:rPr>
          <w:rFonts w:ascii="Gibson" w:cs="Gibson" w:eastAsia="Gibson" w:hAnsi="Gibson"/>
          <w:sz w:val="22"/>
          <w:szCs w:val="22"/>
        </w:rPr>
      </w:pPr>
      <w:r w:rsidDel="00000000" w:rsidR="00000000" w:rsidRPr="00000000">
        <w:rPr>
          <w:sz w:val="22"/>
          <w:szCs w:val="22"/>
          <w:rtl w:val="0"/>
        </w:rPr>
        <w:t xml:space="preserve">The prosperity preacher would say to you that you need to give more in order to get more from God. Is this true? How can this belief be challenged using Scripture?</w:t>
      </w:r>
    </w:p>
    <w:p w:rsidR="00000000" w:rsidDel="00000000" w:rsidP="00000000" w:rsidRDefault="00000000" w:rsidRPr="00000000" w14:paraId="00000015">
      <w:pPr>
        <w:widowControl w:val="0"/>
        <w:spacing w:after="0" w:before="0" w:lineRule="auto"/>
        <w:ind w:left="1440" w:firstLine="0"/>
        <w:rPr>
          <w:sz w:val="22"/>
          <w:szCs w:val="22"/>
        </w:rPr>
      </w:pPr>
      <w:r w:rsidDel="00000000" w:rsidR="00000000" w:rsidRPr="00000000">
        <w:rPr>
          <w:rtl w:val="0"/>
        </w:rPr>
      </w:r>
    </w:p>
    <w:p w:rsidR="00000000" w:rsidDel="00000000" w:rsidP="00000000" w:rsidRDefault="00000000" w:rsidRPr="00000000" w14:paraId="00000016">
      <w:pPr>
        <w:widowControl w:val="0"/>
        <w:numPr>
          <w:ilvl w:val="1"/>
          <w:numId w:val="3"/>
        </w:numPr>
        <w:ind w:left="1440" w:hanging="360"/>
        <w:rPr>
          <w:sz w:val="22"/>
          <w:szCs w:val="22"/>
        </w:rPr>
      </w:pPr>
      <w:r w:rsidDel="00000000" w:rsidR="00000000" w:rsidRPr="00000000">
        <w:rPr>
          <w:sz w:val="22"/>
          <w:szCs w:val="22"/>
          <w:rtl w:val="0"/>
        </w:rPr>
        <w:t xml:space="preserve">How much, then, should you give? Is there a specific percentage or amount? </w:t>
      </w:r>
    </w:p>
    <w:p w:rsidR="00000000" w:rsidDel="00000000" w:rsidP="00000000" w:rsidRDefault="00000000" w:rsidRPr="00000000" w14:paraId="00000017">
      <w:pPr>
        <w:widowControl w:val="0"/>
        <w:ind w:left="1440" w:firstLine="0"/>
        <w:rPr>
          <w:sz w:val="22"/>
          <w:szCs w:val="22"/>
        </w:rPr>
      </w:pPr>
      <w:r w:rsidDel="00000000" w:rsidR="00000000" w:rsidRPr="00000000">
        <w:rPr>
          <w:rtl w:val="0"/>
        </w:rPr>
      </w:r>
    </w:p>
    <w:p w:rsidR="00000000" w:rsidDel="00000000" w:rsidP="00000000" w:rsidRDefault="00000000" w:rsidRPr="00000000" w14:paraId="00000018">
      <w:pPr>
        <w:widowControl w:val="0"/>
        <w:numPr>
          <w:ilvl w:val="0"/>
          <w:numId w:val="3"/>
        </w:numPr>
        <w:ind w:left="720" w:hanging="360"/>
        <w:rPr>
          <w:sz w:val="22"/>
          <w:szCs w:val="22"/>
        </w:rPr>
      </w:pPr>
      <w:r w:rsidDel="00000000" w:rsidR="00000000" w:rsidRPr="00000000">
        <w:rPr>
          <w:sz w:val="22"/>
          <w:szCs w:val="22"/>
          <w:rtl w:val="0"/>
        </w:rPr>
        <w:t xml:space="preserve">What does it mean that my life circumstances are not the determining factor in my giving?</w:t>
      </w:r>
    </w:p>
    <w:p w:rsidR="00000000" w:rsidDel="00000000" w:rsidP="00000000" w:rsidRDefault="00000000" w:rsidRPr="00000000" w14:paraId="00000019">
      <w:pPr>
        <w:widowControl w:val="0"/>
        <w:ind w:left="0" w:firstLine="0"/>
        <w:rPr>
          <w:sz w:val="22"/>
          <w:szCs w:val="22"/>
        </w:rPr>
      </w:pPr>
      <w:r w:rsidDel="00000000" w:rsidR="00000000" w:rsidRPr="00000000">
        <w:rPr>
          <w:rtl w:val="0"/>
        </w:rPr>
      </w:r>
    </w:p>
    <w:p w:rsidR="00000000" w:rsidDel="00000000" w:rsidP="00000000" w:rsidRDefault="00000000" w:rsidRPr="00000000" w14:paraId="0000001A">
      <w:pPr>
        <w:widowControl w:val="0"/>
        <w:numPr>
          <w:ilvl w:val="0"/>
          <w:numId w:val="1"/>
        </w:numPr>
        <w:ind w:left="720" w:hanging="360"/>
        <w:rPr>
          <w:sz w:val="22"/>
          <w:szCs w:val="22"/>
        </w:rPr>
      </w:pPr>
      <w:r w:rsidDel="00000000" w:rsidR="00000000" w:rsidRPr="00000000">
        <w:rPr>
          <w:sz w:val="22"/>
          <w:szCs w:val="22"/>
          <w:rtl w:val="0"/>
        </w:rPr>
        <w:t xml:space="preserve">Read and discuss Mark 12:41-44.</w:t>
      </w:r>
    </w:p>
    <w:p w:rsidR="00000000" w:rsidDel="00000000" w:rsidP="00000000" w:rsidRDefault="00000000" w:rsidRPr="00000000" w14:paraId="0000001B">
      <w:pPr>
        <w:widowControl w:val="0"/>
        <w:ind w:left="720" w:firstLine="0"/>
        <w:rPr>
          <w:sz w:val="22"/>
          <w:szCs w:val="22"/>
        </w:rPr>
      </w:pPr>
      <w:r w:rsidDel="00000000" w:rsidR="00000000" w:rsidRPr="00000000">
        <w:rPr>
          <w:rtl w:val="0"/>
        </w:rPr>
      </w:r>
    </w:p>
    <w:p w:rsidR="00000000" w:rsidDel="00000000" w:rsidP="00000000" w:rsidRDefault="00000000" w:rsidRPr="00000000" w14:paraId="0000001C">
      <w:pPr>
        <w:widowControl w:val="0"/>
        <w:numPr>
          <w:ilvl w:val="1"/>
          <w:numId w:val="1"/>
        </w:numPr>
        <w:ind w:left="1440" w:hanging="360"/>
        <w:rPr>
          <w:sz w:val="22"/>
          <w:szCs w:val="22"/>
        </w:rPr>
      </w:pPr>
      <w:r w:rsidDel="00000000" w:rsidR="00000000" w:rsidRPr="00000000">
        <w:rPr>
          <w:sz w:val="22"/>
          <w:szCs w:val="22"/>
          <w:rtl w:val="0"/>
        </w:rPr>
        <w:t xml:space="preserve">Since regular people fund the mission, how are you demonstrating the intentionality and heart behind the giving Paul was speaking to?</w:t>
      </w:r>
    </w:p>
    <w:p w:rsidR="00000000" w:rsidDel="00000000" w:rsidP="00000000" w:rsidRDefault="00000000" w:rsidRPr="00000000" w14:paraId="0000001D">
      <w:pPr>
        <w:widowControl w:val="0"/>
        <w:ind w:left="1440" w:firstLine="0"/>
        <w:rPr>
          <w:sz w:val="22"/>
          <w:szCs w:val="22"/>
        </w:rPr>
      </w:pPr>
      <w:r w:rsidDel="00000000" w:rsidR="00000000" w:rsidRPr="00000000">
        <w:rPr>
          <w:rtl w:val="0"/>
        </w:rPr>
      </w:r>
    </w:p>
    <w:p w:rsidR="00000000" w:rsidDel="00000000" w:rsidP="00000000" w:rsidRDefault="00000000" w:rsidRPr="00000000" w14:paraId="0000001E">
      <w:pPr>
        <w:widowControl w:val="0"/>
        <w:numPr>
          <w:ilvl w:val="1"/>
          <w:numId w:val="1"/>
        </w:numPr>
        <w:ind w:left="1440" w:hanging="360"/>
        <w:rPr>
          <w:sz w:val="22"/>
          <w:szCs w:val="22"/>
        </w:rPr>
      </w:pPr>
      <w:r w:rsidDel="00000000" w:rsidR="00000000" w:rsidRPr="00000000">
        <w:rPr>
          <w:sz w:val="22"/>
          <w:szCs w:val="22"/>
          <w:rtl w:val="0"/>
        </w:rPr>
        <w:t xml:space="preserve">What in your budget is a privilege that you could redirect toward ministry?</w:t>
      </w:r>
    </w:p>
    <w:p w:rsidR="00000000" w:rsidDel="00000000" w:rsidP="00000000" w:rsidRDefault="00000000" w:rsidRPr="00000000" w14:paraId="0000001F">
      <w:pPr>
        <w:widowControl w:val="0"/>
        <w:rPr/>
      </w:pPr>
      <w:r w:rsidDel="00000000" w:rsidR="00000000" w:rsidRPr="00000000">
        <w:rPr>
          <w:rtl w:val="0"/>
        </w:rPr>
      </w:r>
    </w:p>
    <w:p w:rsidR="00000000" w:rsidDel="00000000" w:rsidP="00000000" w:rsidRDefault="00000000" w:rsidRPr="00000000" w14:paraId="00000020">
      <w:pPr>
        <w:widowControl w:val="0"/>
        <w:ind w:left="0" w:firstLine="0"/>
        <w:rPr>
          <w:sz w:val="22"/>
          <w:szCs w:val="22"/>
        </w:rPr>
      </w:pPr>
      <w:r w:rsidDel="00000000" w:rsidR="00000000" w:rsidRPr="00000000">
        <w:rPr>
          <w:rtl w:val="0"/>
        </w:rPr>
      </w:r>
    </w:p>
    <w:p w:rsidR="00000000" w:rsidDel="00000000" w:rsidP="00000000" w:rsidRDefault="00000000" w:rsidRPr="00000000" w14:paraId="00000021">
      <w:pPr>
        <w:widowControl w:val="0"/>
        <w:ind w:left="0" w:firstLine="0"/>
        <w:rPr/>
      </w:pPr>
      <w:r w:rsidDel="00000000" w:rsidR="00000000" w:rsidRPr="00000000">
        <w:rPr>
          <w:rtl w:val="0"/>
        </w:rPr>
      </w:r>
    </w:p>
    <w:p w:rsidR="00000000" w:rsidDel="00000000" w:rsidP="00000000" w:rsidRDefault="00000000" w:rsidRPr="00000000" w14:paraId="00000022">
      <w:pPr>
        <w:widowControl w:val="0"/>
        <w:rPr/>
      </w:pPr>
      <w:r w:rsidDel="00000000" w:rsidR="00000000" w:rsidRPr="00000000">
        <w:rPr>
          <w:rtl w:val="0"/>
        </w:rPr>
      </w:r>
    </w:p>
    <w:p w:rsidR="00000000" w:rsidDel="00000000" w:rsidP="00000000" w:rsidRDefault="00000000" w:rsidRPr="00000000" w14:paraId="00000023">
      <w:pPr>
        <w:widowControl w:val="0"/>
        <w:rPr/>
      </w:pPr>
      <w:r w:rsidDel="00000000" w:rsidR="00000000" w:rsidRPr="00000000">
        <w:rPr>
          <w:rtl w:val="0"/>
        </w:rPr>
      </w:r>
    </w:p>
    <w:p w:rsidR="00000000" w:rsidDel="00000000" w:rsidP="00000000" w:rsidRDefault="00000000" w:rsidRPr="00000000" w14:paraId="00000024">
      <w:pPr>
        <w:widowControl w:val="0"/>
        <w:rPr/>
      </w:pPr>
      <w:r w:rsidDel="00000000" w:rsidR="00000000" w:rsidRPr="00000000">
        <w:rPr>
          <w:rtl w:val="0"/>
        </w:rPr>
        <w:t xml:space="preserve"> </w:t>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widowControl w:val="0"/>
        <w:rPr/>
      </w:pPr>
      <w:r w:rsidDel="00000000" w:rsidR="00000000" w:rsidRPr="00000000">
        <w:rPr>
          <w:rtl w:val="0"/>
        </w:rPr>
      </w:r>
    </w:p>
    <w:p w:rsidR="00000000" w:rsidDel="00000000" w:rsidP="00000000" w:rsidRDefault="00000000" w:rsidRPr="00000000" w14:paraId="00000027">
      <w:pPr>
        <w:widowControl w:val="0"/>
        <w:rPr/>
      </w:pPr>
      <w:r w:rsidDel="00000000" w:rsidR="00000000" w:rsidRPr="00000000">
        <w:rPr>
          <w:rtl w:val="0"/>
        </w:rPr>
      </w:r>
    </w:p>
    <w:p w:rsidR="00000000" w:rsidDel="00000000" w:rsidP="00000000" w:rsidRDefault="00000000" w:rsidRPr="00000000" w14:paraId="00000028">
      <w:pPr>
        <w:widowControl w:val="0"/>
        <w:rPr/>
      </w:pPr>
      <w:r w:rsidDel="00000000" w:rsidR="00000000" w:rsidRPr="00000000">
        <w:rPr>
          <w:rtl w:val="0"/>
        </w:rPr>
      </w:r>
    </w:p>
    <w:p w:rsidR="00000000" w:rsidDel="00000000" w:rsidP="00000000" w:rsidRDefault="00000000" w:rsidRPr="00000000" w14:paraId="00000029">
      <w:pPr>
        <w:widowControl w:val="0"/>
        <w:rPr/>
      </w:pPr>
      <w:r w:rsidDel="00000000" w:rsidR="00000000" w:rsidRPr="00000000">
        <w:rPr>
          <w:rtl w:val="0"/>
        </w:rPr>
      </w:r>
    </w:p>
    <w:sectPr>
      <w:pgSz w:h="15840" w:w="12240" w:orient="portrait"/>
      <w:pgMar w:bottom="1440" w:top="1440" w:left="1440" w:right="1440" w:header="706" w:footer="167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Gibso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rPr>
      <w:rFonts w:ascii="Calibri" w:cs="Calibri" w:eastAsia="Calibri" w:hAnsi="Calibri"/>
      <w:sz w:val="56"/>
      <w:szCs w:val="56"/>
    </w:rPr>
  </w:style>
  <w:style w:type="paragraph" w:styleId="Normal" w:default="1">
    <w:name w:val="Normal"/>
    <w:qFormat w:val="1"/>
  </w:style>
  <w:style w:type="paragraph" w:styleId="Heading1">
    <w:name w:val="heading 1"/>
    <w:basedOn w:val="Normal"/>
    <w:next w:val="Normal"/>
    <w:link w:val="Heading1Char"/>
    <w:uiPriority w:val="9"/>
    <w:qFormat w:val="1"/>
    <w:rsid w:val="0058077E"/>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5C1603"/>
    <w:pPr>
      <w:tabs>
        <w:tab w:val="center" w:pos="4320"/>
        <w:tab w:val="right" w:pos="8640"/>
      </w:tabs>
    </w:pPr>
  </w:style>
  <w:style w:type="character" w:styleId="HeaderChar" w:customStyle="1">
    <w:name w:val="Header Char"/>
    <w:basedOn w:val="DefaultParagraphFont"/>
    <w:link w:val="Header"/>
    <w:uiPriority w:val="99"/>
    <w:rsid w:val="005C1603"/>
  </w:style>
  <w:style w:type="paragraph" w:styleId="Footer">
    <w:name w:val="footer"/>
    <w:basedOn w:val="Normal"/>
    <w:link w:val="FooterChar"/>
    <w:uiPriority w:val="99"/>
    <w:unhideWhenUsed w:val="1"/>
    <w:rsid w:val="005C1603"/>
    <w:pPr>
      <w:tabs>
        <w:tab w:val="center" w:pos="4320"/>
        <w:tab w:val="right" w:pos="8640"/>
      </w:tabs>
    </w:pPr>
  </w:style>
  <w:style w:type="character" w:styleId="FooterChar" w:customStyle="1">
    <w:name w:val="Footer Char"/>
    <w:basedOn w:val="DefaultParagraphFont"/>
    <w:link w:val="Footer"/>
    <w:uiPriority w:val="99"/>
    <w:rsid w:val="005C1603"/>
  </w:style>
  <w:style w:type="paragraph" w:styleId="BalloonText">
    <w:name w:val="Balloon Text"/>
    <w:basedOn w:val="Normal"/>
    <w:link w:val="BalloonTextChar"/>
    <w:uiPriority w:val="99"/>
    <w:semiHidden w:val="1"/>
    <w:unhideWhenUsed w:val="1"/>
    <w:rsid w:val="005C1603"/>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5C1603"/>
    <w:rPr>
      <w:rFonts w:ascii="Lucida Grande" w:cs="Lucida Grande" w:hAnsi="Lucida Grande"/>
      <w:sz w:val="18"/>
      <w:szCs w:val="18"/>
    </w:rPr>
  </w:style>
  <w:style w:type="character" w:styleId="HIGHLIGHT" w:customStyle="1">
    <w:name w:val=".HIGHLIGHT"/>
    <w:basedOn w:val="DefaultParagraphFont"/>
    <w:rsid w:val="00DD4B04"/>
    <w:rPr>
      <w:rFonts w:asciiTheme="majorHAnsi" w:hAnsiTheme="majorHAnsi"/>
      <w:b w:val="1"/>
      <w:sz w:val="20"/>
    </w:rPr>
  </w:style>
  <w:style w:type="paragraph" w:styleId="ListParagraph">
    <w:name w:val="List Paragraph"/>
    <w:basedOn w:val="Normal"/>
    <w:qFormat w:val="1"/>
    <w:rsid w:val="006E61DA"/>
    <w:pPr>
      <w:ind w:left="720"/>
      <w:contextualSpacing w:val="1"/>
    </w:pPr>
  </w:style>
  <w:style w:type="paragraph" w:styleId="p1" w:customStyle="1">
    <w:name w:val="p1"/>
    <w:basedOn w:val="Normal"/>
    <w:rsid w:val="00DF5966"/>
    <w:rPr>
      <w:rFonts w:ascii="Arial" w:cs="Arial" w:hAnsi="Arial"/>
      <w:sz w:val="15"/>
      <w:szCs w:val="15"/>
    </w:rPr>
  </w:style>
  <w:style w:type="paragraph" w:styleId="p2" w:customStyle="1">
    <w:name w:val="p2"/>
    <w:basedOn w:val="Normal"/>
    <w:rsid w:val="00DF5966"/>
    <w:rPr>
      <w:rFonts w:ascii="Arial" w:cs="Arial" w:hAnsi="Arial"/>
      <w:sz w:val="18"/>
      <w:szCs w:val="18"/>
    </w:rPr>
  </w:style>
  <w:style w:type="paragraph" w:styleId="p3" w:customStyle="1">
    <w:name w:val="p3"/>
    <w:basedOn w:val="Normal"/>
    <w:rsid w:val="00DF5966"/>
    <w:rPr>
      <w:rFonts w:ascii="Arial" w:cs="Arial" w:hAnsi="Arial"/>
      <w:sz w:val="18"/>
      <w:szCs w:val="18"/>
    </w:rPr>
  </w:style>
  <w:style w:type="character" w:styleId="apple-converted-space" w:customStyle="1">
    <w:name w:val="apple-converted-space"/>
    <w:basedOn w:val="DefaultParagraphFont"/>
    <w:rsid w:val="00DF5966"/>
  </w:style>
  <w:style w:type="character" w:styleId="QUOTE" w:customStyle="1">
    <w:name w:val=".QUOTE"/>
    <w:basedOn w:val="DefaultParagraphFont"/>
    <w:rsid w:val="00CE6A05"/>
    <w:rPr>
      <w:rFonts w:ascii="Calibri" w:hAnsi="Calibri"/>
      <w:b w:val="1"/>
      <w:i w:val="1"/>
      <w:color w:val="008000"/>
      <w:sz w:val="20"/>
      <w:szCs w:val="16"/>
    </w:rPr>
  </w:style>
  <w:style w:type="character" w:styleId="ILLUSTRATION" w:customStyle="1">
    <w:name w:val=".ILLUSTRATION"/>
    <w:basedOn w:val="DefaultParagraphFont"/>
    <w:rsid w:val="00CE6A05"/>
    <w:rPr>
      <w:rFonts w:ascii="Calibri" w:hAnsi="Calibri"/>
      <w:b w:val="1"/>
      <w:color w:val="008000"/>
      <w:sz w:val="20"/>
      <w:szCs w:val="16"/>
    </w:rPr>
  </w:style>
  <w:style w:type="character" w:styleId="Hyperlink">
    <w:name w:val="Hyperlink"/>
    <w:basedOn w:val="DefaultParagraphFont"/>
    <w:uiPriority w:val="99"/>
    <w:unhideWhenUsed w:val="1"/>
    <w:rsid w:val="00BC2D89"/>
    <w:rPr>
      <w:color w:val="0000ff" w:themeColor="hyperlink"/>
      <w:u w:val="single"/>
    </w:rPr>
  </w:style>
  <w:style w:type="table" w:styleId="TableGrid">
    <w:name w:val="Table Grid"/>
    <w:basedOn w:val="TableNormal"/>
    <w:uiPriority w:val="39"/>
    <w:rsid w:val="008C415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BF4B70"/>
    <w:pPr>
      <w:spacing w:after="100" w:afterAutospacing="1" w:before="100" w:beforeAutospacing="1"/>
    </w:pPr>
    <w:rPr>
      <w:rFonts w:ascii="Times New Roman" w:cs="Times New Roman" w:eastAsia="Times New Roman" w:hAnsi="Times New Roman"/>
      <w:lang w:val="en-CA"/>
    </w:rPr>
  </w:style>
  <w:style w:type="character" w:styleId="Emphasis">
    <w:name w:val="Emphasis"/>
    <w:basedOn w:val="DefaultParagraphFont"/>
    <w:uiPriority w:val="20"/>
    <w:qFormat w:val="1"/>
    <w:rsid w:val="00BF4B70"/>
    <w:rPr>
      <w:i w:val="1"/>
      <w:iCs w:val="1"/>
    </w:rPr>
  </w:style>
  <w:style w:type="character" w:styleId="Strong">
    <w:name w:val="Strong"/>
    <w:basedOn w:val="DefaultParagraphFont"/>
    <w:uiPriority w:val="22"/>
    <w:qFormat w:val="1"/>
    <w:rsid w:val="00BF4B70"/>
    <w:rPr>
      <w:b w:val="1"/>
      <w:bCs w:val="1"/>
    </w:rPr>
  </w:style>
  <w:style w:type="character" w:styleId="Heading1Char" w:customStyle="1">
    <w:name w:val="Heading 1 Char"/>
    <w:basedOn w:val="DefaultParagraphFont"/>
    <w:link w:val="Heading1"/>
    <w:uiPriority w:val="9"/>
    <w:rsid w:val="0058077E"/>
    <w:rPr>
      <w:rFonts w:asciiTheme="majorHAnsi" w:cstheme="majorBidi" w:eastAsiaTheme="majorEastAsia" w:hAnsiTheme="majorHAnsi"/>
      <w:color w:val="365f91" w:themeColor="accent1" w:themeShade="0000BF"/>
      <w:sz w:val="32"/>
      <w:szCs w:val="32"/>
    </w:rPr>
  </w:style>
  <w:style w:type="paragraph" w:styleId="Title">
    <w:name w:val="Title"/>
    <w:basedOn w:val="Normal"/>
    <w:next w:val="Normal"/>
    <w:link w:val="TitleChar"/>
    <w:uiPriority w:val="10"/>
    <w:qFormat w:val="1"/>
    <w:rsid w:val="0058077E"/>
    <w:pPr>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58077E"/>
    <w:rPr>
      <w:rFonts w:asciiTheme="majorHAnsi" w:cstheme="majorBidi" w:eastAsiaTheme="majorEastAsia" w:hAnsiTheme="majorHAnsi"/>
      <w:spacing w:val="-10"/>
      <w:kern w:val="28"/>
      <w:sz w:val="56"/>
      <w:szCs w:val="56"/>
    </w:rPr>
  </w:style>
  <w:style w:type="character" w:styleId="ILLUSTRATION0" w:customStyle="1">
    <w:name w:val="ILLUSTRATION"/>
    <w:qFormat w:val="1"/>
    <w:rsid w:val="00392218"/>
    <w:rPr>
      <w:rFonts w:ascii="Calibri" w:cs="Helvetica" w:hAnsi="Calibri"/>
      <w:b w:val="1"/>
      <w:color w:val="008000"/>
      <w:sz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QL4b/l2TBFvp/Svb7tFXotgcmg==">CgMxLjA4AHIhMVVHOHpuODFaNzVYc1Rrd1hkVXM0M3dSNEdDV25xV3Y0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2024-09-17T16:10:00Z</dcterms:created>
  <dc:creator>Derk Mendal</dc:creator>
</cp:coreProperties>
</file>